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3413" w:rsidRDefault="00983413" w:rsidP="002E0673">
      <w:pPr>
        <w:spacing w:after="0" w:line="480" w:lineRule="auto"/>
        <w:rPr>
          <w:rFonts w:ascii="Times New Roman" w:hAnsi="Times New Roman" w:cs="Times New Roman"/>
          <w:sz w:val="24"/>
          <w:szCs w:val="24"/>
        </w:rPr>
      </w:pPr>
      <w:bookmarkStart w:id="0" w:name="_GoBack"/>
      <w:bookmarkEnd w:id="0"/>
    </w:p>
    <w:p w:rsidR="002E0673" w:rsidRDefault="002E0673" w:rsidP="00983413">
      <w:pPr>
        <w:spacing w:after="0" w:line="480" w:lineRule="auto"/>
        <w:jc w:val="center"/>
        <w:rPr>
          <w:rFonts w:ascii="Times New Roman" w:hAnsi="Times New Roman" w:cs="Times New Roman"/>
          <w:sz w:val="24"/>
          <w:szCs w:val="24"/>
        </w:rPr>
      </w:pPr>
      <w:r w:rsidRPr="002E0673">
        <w:rPr>
          <w:rFonts w:ascii="Times New Roman" w:hAnsi="Times New Roman" w:cs="Times New Roman"/>
          <w:sz w:val="24"/>
          <w:szCs w:val="24"/>
        </w:rPr>
        <w:t>The Crisis of 1914</w:t>
      </w:r>
      <w:r>
        <w:rPr>
          <w:rFonts w:ascii="Times New Roman" w:hAnsi="Times New Roman" w:cs="Times New Roman"/>
          <w:sz w:val="24"/>
          <w:szCs w:val="24"/>
        </w:rPr>
        <w:t xml:space="preserve"> from Austria-Hungary Point of View</w:t>
      </w:r>
    </w:p>
    <w:p w:rsidR="00983413" w:rsidRDefault="00983413" w:rsidP="00983413">
      <w:pPr>
        <w:spacing w:after="0" w:line="480" w:lineRule="auto"/>
        <w:jc w:val="center"/>
        <w:rPr>
          <w:rFonts w:ascii="Times New Roman" w:hAnsi="Times New Roman" w:cs="Times New Roman"/>
          <w:sz w:val="24"/>
          <w:szCs w:val="24"/>
        </w:rPr>
      </w:pPr>
    </w:p>
    <w:p w:rsidR="00983413" w:rsidRDefault="00983413" w:rsidP="00983413">
      <w:pPr>
        <w:spacing w:after="0" w:line="480" w:lineRule="auto"/>
        <w:jc w:val="center"/>
        <w:rPr>
          <w:rFonts w:ascii="Times New Roman" w:hAnsi="Times New Roman" w:cs="Times New Roman"/>
          <w:sz w:val="24"/>
          <w:szCs w:val="24"/>
        </w:rPr>
      </w:pPr>
    </w:p>
    <w:p w:rsidR="00983413" w:rsidRDefault="00983413" w:rsidP="00983413">
      <w:pPr>
        <w:spacing w:after="0" w:line="480" w:lineRule="auto"/>
        <w:jc w:val="center"/>
        <w:rPr>
          <w:rFonts w:ascii="Times New Roman" w:hAnsi="Times New Roman" w:cs="Times New Roman"/>
          <w:sz w:val="24"/>
          <w:szCs w:val="24"/>
        </w:rPr>
      </w:pPr>
    </w:p>
    <w:p w:rsidR="00983413" w:rsidRDefault="00983413" w:rsidP="00983413">
      <w:pPr>
        <w:spacing w:after="0" w:line="480" w:lineRule="auto"/>
        <w:jc w:val="center"/>
        <w:rPr>
          <w:rFonts w:ascii="Times New Roman" w:hAnsi="Times New Roman" w:cs="Times New Roman"/>
          <w:sz w:val="24"/>
          <w:szCs w:val="24"/>
        </w:rPr>
      </w:pPr>
    </w:p>
    <w:p w:rsidR="00983413" w:rsidRDefault="00983413" w:rsidP="0098341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983413" w:rsidRDefault="00983413" w:rsidP="00983413">
      <w:pPr>
        <w:spacing w:after="0" w:line="480" w:lineRule="auto"/>
        <w:jc w:val="center"/>
        <w:rPr>
          <w:rFonts w:ascii="Times New Roman" w:hAnsi="Times New Roman" w:cs="Times New Roman"/>
          <w:sz w:val="24"/>
          <w:szCs w:val="24"/>
        </w:rPr>
      </w:pPr>
    </w:p>
    <w:p w:rsidR="00983413" w:rsidRDefault="00983413" w:rsidP="00983413">
      <w:pPr>
        <w:spacing w:after="0" w:line="480" w:lineRule="auto"/>
        <w:jc w:val="center"/>
        <w:rPr>
          <w:rFonts w:ascii="Times New Roman" w:hAnsi="Times New Roman" w:cs="Times New Roman"/>
          <w:sz w:val="24"/>
          <w:szCs w:val="24"/>
        </w:rPr>
      </w:pPr>
    </w:p>
    <w:p w:rsidR="00983413" w:rsidRDefault="00983413" w:rsidP="00983413">
      <w:pPr>
        <w:spacing w:after="0" w:line="480" w:lineRule="auto"/>
        <w:jc w:val="center"/>
        <w:rPr>
          <w:rFonts w:ascii="Times New Roman" w:hAnsi="Times New Roman" w:cs="Times New Roman"/>
          <w:sz w:val="24"/>
          <w:szCs w:val="24"/>
        </w:rPr>
      </w:pPr>
    </w:p>
    <w:p w:rsidR="00983413" w:rsidRDefault="00983413" w:rsidP="00983413">
      <w:pPr>
        <w:spacing w:after="0" w:line="480" w:lineRule="auto"/>
        <w:jc w:val="center"/>
        <w:rPr>
          <w:rFonts w:ascii="Times New Roman" w:hAnsi="Times New Roman" w:cs="Times New Roman"/>
          <w:sz w:val="24"/>
          <w:szCs w:val="24"/>
        </w:rPr>
      </w:pPr>
    </w:p>
    <w:p w:rsidR="00983413" w:rsidRDefault="00983413" w:rsidP="00983413">
      <w:pPr>
        <w:spacing w:after="0" w:line="480" w:lineRule="auto"/>
        <w:jc w:val="center"/>
        <w:rPr>
          <w:rFonts w:ascii="Times New Roman" w:hAnsi="Times New Roman" w:cs="Times New Roman"/>
          <w:sz w:val="24"/>
          <w:szCs w:val="24"/>
        </w:rPr>
      </w:pPr>
    </w:p>
    <w:p w:rsidR="00983413" w:rsidRDefault="00983413" w:rsidP="00983413">
      <w:pPr>
        <w:spacing w:after="0" w:line="480" w:lineRule="auto"/>
        <w:jc w:val="center"/>
        <w:rPr>
          <w:rFonts w:ascii="Times New Roman" w:hAnsi="Times New Roman" w:cs="Times New Roman"/>
          <w:sz w:val="24"/>
          <w:szCs w:val="24"/>
        </w:rPr>
      </w:pPr>
    </w:p>
    <w:p w:rsidR="00983413" w:rsidRDefault="00983413" w:rsidP="00983413">
      <w:pPr>
        <w:spacing w:after="0" w:line="480" w:lineRule="auto"/>
        <w:jc w:val="center"/>
        <w:rPr>
          <w:rFonts w:ascii="Times New Roman" w:hAnsi="Times New Roman" w:cs="Times New Roman"/>
          <w:sz w:val="24"/>
          <w:szCs w:val="24"/>
        </w:rPr>
      </w:pPr>
    </w:p>
    <w:p w:rsidR="00983413" w:rsidRDefault="00983413" w:rsidP="0098341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983413" w:rsidRDefault="00983413" w:rsidP="0098341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983413" w:rsidRDefault="00983413" w:rsidP="0098341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983413" w:rsidRDefault="00983413" w:rsidP="00983413">
      <w:pPr>
        <w:spacing w:after="0" w:line="480" w:lineRule="auto"/>
        <w:jc w:val="center"/>
        <w:rPr>
          <w:rFonts w:ascii="Times New Roman" w:hAnsi="Times New Roman" w:cs="Times New Roman"/>
          <w:sz w:val="24"/>
          <w:szCs w:val="24"/>
        </w:rPr>
      </w:pPr>
    </w:p>
    <w:p w:rsidR="00983413" w:rsidRDefault="00983413" w:rsidP="00983413">
      <w:pPr>
        <w:spacing w:after="0" w:line="480" w:lineRule="auto"/>
        <w:jc w:val="center"/>
        <w:rPr>
          <w:rFonts w:ascii="Times New Roman" w:hAnsi="Times New Roman" w:cs="Times New Roman"/>
          <w:sz w:val="24"/>
          <w:szCs w:val="24"/>
        </w:rPr>
      </w:pPr>
    </w:p>
    <w:p w:rsidR="00983413" w:rsidRDefault="00983413" w:rsidP="00983413">
      <w:pPr>
        <w:spacing w:after="0" w:line="480" w:lineRule="auto"/>
        <w:jc w:val="center"/>
        <w:rPr>
          <w:rFonts w:ascii="Times New Roman" w:hAnsi="Times New Roman" w:cs="Times New Roman"/>
          <w:sz w:val="24"/>
          <w:szCs w:val="24"/>
        </w:rPr>
      </w:pPr>
    </w:p>
    <w:p w:rsidR="00983413" w:rsidRDefault="00983413" w:rsidP="00983413">
      <w:pPr>
        <w:spacing w:after="0" w:line="480" w:lineRule="auto"/>
        <w:jc w:val="center"/>
        <w:rPr>
          <w:rFonts w:ascii="Times New Roman" w:hAnsi="Times New Roman" w:cs="Times New Roman"/>
          <w:sz w:val="24"/>
          <w:szCs w:val="24"/>
        </w:rPr>
      </w:pPr>
    </w:p>
    <w:p w:rsidR="00983413" w:rsidRDefault="00983413" w:rsidP="00983413">
      <w:pPr>
        <w:spacing w:after="0" w:line="480" w:lineRule="auto"/>
        <w:jc w:val="center"/>
        <w:rPr>
          <w:rFonts w:ascii="Times New Roman" w:hAnsi="Times New Roman" w:cs="Times New Roman"/>
          <w:sz w:val="24"/>
          <w:szCs w:val="24"/>
        </w:rPr>
      </w:pPr>
    </w:p>
    <w:p w:rsidR="00983413" w:rsidRPr="002E0673" w:rsidRDefault="00983413" w:rsidP="0098341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983413" w:rsidRPr="00983413" w:rsidRDefault="00983413" w:rsidP="00983413">
      <w:pPr>
        <w:jc w:val="center"/>
        <w:rPr>
          <w:rFonts w:ascii="Times New Roman" w:hAnsi="Times New Roman" w:cs="Times New Roman"/>
          <w:b/>
          <w:sz w:val="24"/>
          <w:szCs w:val="24"/>
        </w:rPr>
      </w:pPr>
      <w:r w:rsidRPr="00983413">
        <w:rPr>
          <w:rFonts w:ascii="Times New Roman" w:hAnsi="Times New Roman" w:cs="Times New Roman"/>
          <w:b/>
          <w:sz w:val="24"/>
          <w:szCs w:val="24"/>
        </w:rPr>
        <w:lastRenderedPageBreak/>
        <w:t>The Crisis of 1914 from Austria-Hungary Point of View</w:t>
      </w:r>
    </w:p>
    <w:p w:rsidR="002E0673" w:rsidRPr="002E0673" w:rsidRDefault="002E0673" w:rsidP="00983413">
      <w:pPr>
        <w:spacing w:after="0" w:line="480" w:lineRule="auto"/>
        <w:ind w:firstLine="720"/>
        <w:rPr>
          <w:rFonts w:ascii="Times New Roman" w:hAnsi="Times New Roman" w:cs="Times New Roman"/>
          <w:sz w:val="24"/>
          <w:szCs w:val="24"/>
        </w:rPr>
      </w:pPr>
      <w:r w:rsidRPr="002E0673">
        <w:rPr>
          <w:rFonts w:ascii="Times New Roman" w:hAnsi="Times New Roman" w:cs="Times New Roman"/>
          <w:sz w:val="24"/>
          <w:szCs w:val="24"/>
        </w:rPr>
        <w:t>Despite longtime embracement of diplomacy and co-existence in the Great Powers, things still turned out to be worse. Austria-Hungry engaged in different diplomatic issues to ensure peaceful co-existence with its other neighbors. However, the war was brewing and it was inescapable. Although Austria-Hungry embraced and engaged in diplomatic and foreign policies, the preparation to culminate war was vital to contain war occurrence.  With its strong belief to have a peaceful co-existence with Serbia, Serbia had a different opinion and motive to secure its future. Conversely, the complexity of the 1914 crisis leads to confusion to assert exactly what this was meant. Scholars demonstrate a different understanding of the 1914 war and how it led to more devastation. This paper examines the crisis of 1914 from Austria-Hungary’s point of view.</w:t>
      </w:r>
    </w:p>
    <w:p w:rsidR="002E0673" w:rsidRPr="002E0673" w:rsidRDefault="002E0673" w:rsidP="002E0673">
      <w:pPr>
        <w:spacing w:after="0" w:line="480" w:lineRule="auto"/>
        <w:ind w:firstLine="720"/>
        <w:rPr>
          <w:rFonts w:ascii="Times New Roman" w:hAnsi="Times New Roman" w:cs="Times New Roman"/>
          <w:sz w:val="24"/>
          <w:szCs w:val="24"/>
        </w:rPr>
      </w:pPr>
      <w:r w:rsidRPr="002E0673">
        <w:rPr>
          <w:rFonts w:ascii="Times New Roman" w:hAnsi="Times New Roman" w:cs="Times New Roman"/>
          <w:sz w:val="24"/>
          <w:szCs w:val="24"/>
        </w:rPr>
        <w:t>Austria-Hungary before the 1914 crisis embraced peace talks through the use of peace conferences and mediation.</w:t>
      </w:r>
      <w:r w:rsidR="00401B0A">
        <w:rPr>
          <w:rStyle w:val="FootnoteReference"/>
          <w:rFonts w:ascii="Times New Roman" w:hAnsi="Times New Roman" w:cs="Times New Roman"/>
          <w:sz w:val="24"/>
          <w:szCs w:val="24"/>
        </w:rPr>
        <w:footnoteReference w:id="1"/>
      </w:r>
      <w:r w:rsidRPr="002E0673">
        <w:rPr>
          <w:rFonts w:ascii="Times New Roman" w:hAnsi="Times New Roman" w:cs="Times New Roman"/>
          <w:sz w:val="24"/>
          <w:szCs w:val="24"/>
        </w:rPr>
        <w:t xml:space="preserve"> At least the Great Powers used these means to attain peace and co-exist with each other. However, it is important to note, other smaller states continuously and randomly engaged in conflicts with each other. Despite all the brewing war, these states both large and small avoided war at all cost. The move for peace acted as a means to restrain war. Austria-Hungary as one of the Great Power never wanted to be the cause of the war but restrain peace with every effort.</w:t>
      </w:r>
      <w:r w:rsidR="00401B0A">
        <w:rPr>
          <w:rStyle w:val="FootnoteReference"/>
          <w:rFonts w:ascii="Times New Roman" w:hAnsi="Times New Roman" w:cs="Times New Roman"/>
          <w:sz w:val="24"/>
          <w:szCs w:val="24"/>
        </w:rPr>
        <w:footnoteReference w:id="2"/>
      </w:r>
      <w:r w:rsidRPr="002E0673">
        <w:rPr>
          <w:rFonts w:ascii="Times New Roman" w:hAnsi="Times New Roman" w:cs="Times New Roman"/>
          <w:sz w:val="24"/>
          <w:szCs w:val="24"/>
        </w:rPr>
        <w:t xml:space="preserve"> However, Austria-Hungary relationship with the Triple Alliance and Italy was never strong. But no matter the situation peace was the ultimate winner in all the states. Germany and Austria were close allies and had a strong relationship.</w:t>
      </w:r>
      <w:r w:rsidR="00401B0A">
        <w:rPr>
          <w:rStyle w:val="FootnoteReference"/>
          <w:rFonts w:ascii="Times New Roman" w:hAnsi="Times New Roman" w:cs="Times New Roman"/>
          <w:sz w:val="24"/>
          <w:szCs w:val="24"/>
        </w:rPr>
        <w:footnoteReference w:id="3"/>
      </w:r>
      <w:r w:rsidRPr="002E0673">
        <w:rPr>
          <w:rFonts w:ascii="Times New Roman" w:hAnsi="Times New Roman" w:cs="Times New Roman"/>
          <w:sz w:val="24"/>
          <w:szCs w:val="24"/>
        </w:rPr>
        <w:t xml:space="preserve"> </w:t>
      </w:r>
    </w:p>
    <w:p w:rsidR="002E0673" w:rsidRPr="002E0673" w:rsidRDefault="002E0673" w:rsidP="002E0673">
      <w:pPr>
        <w:spacing w:after="0" w:line="480" w:lineRule="auto"/>
        <w:ind w:firstLine="720"/>
        <w:rPr>
          <w:rFonts w:ascii="Times New Roman" w:hAnsi="Times New Roman" w:cs="Times New Roman"/>
          <w:sz w:val="24"/>
          <w:szCs w:val="24"/>
        </w:rPr>
      </w:pPr>
      <w:r w:rsidRPr="002E0673">
        <w:rPr>
          <w:rFonts w:ascii="Times New Roman" w:hAnsi="Times New Roman" w:cs="Times New Roman"/>
          <w:sz w:val="24"/>
          <w:szCs w:val="24"/>
        </w:rPr>
        <w:t xml:space="preserve">Things begun to change particularly with the murder of the heir apparent to the throne of Austria-Hungary brought all the efforts down. Franz Francis Ferdinand and his wife assassination on July 1914 changed the diplomatic relations between the Great Powers. This </w:t>
      </w:r>
      <w:r w:rsidRPr="002E0673">
        <w:rPr>
          <w:rFonts w:ascii="Times New Roman" w:hAnsi="Times New Roman" w:cs="Times New Roman"/>
          <w:sz w:val="24"/>
          <w:szCs w:val="24"/>
        </w:rPr>
        <w:lastRenderedPageBreak/>
        <w:t>changed everything including retaliation from the Austria-Hungary side. The assassination claimed by the minority ethnic group in Austria-Hungary subjected the world to this crisis. This successful assassination by Serbia nationalist led to the 1914 crisis since it threatened the unity of the European powers.</w:t>
      </w:r>
      <w:r w:rsidR="00401B0A">
        <w:rPr>
          <w:rStyle w:val="FootnoteReference"/>
          <w:rFonts w:ascii="Times New Roman" w:hAnsi="Times New Roman" w:cs="Times New Roman"/>
          <w:sz w:val="24"/>
          <w:szCs w:val="24"/>
        </w:rPr>
        <w:footnoteReference w:id="4"/>
      </w:r>
      <w:r w:rsidRPr="002E0673">
        <w:rPr>
          <w:rFonts w:ascii="Times New Roman" w:hAnsi="Times New Roman" w:cs="Times New Roman"/>
          <w:sz w:val="24"/>
          <w:szCs w:val="24"/>
        </w:rPr>
        <w:t xml:space="preserve"> </w:t>
      </w:r>
    </w:p>
    <w:p w:rsidR="002E0673" w:rsidRPr="002E0673" w:rsidRDefault="002E0673" w:rsidP="002E0673">
      <w:pPr>
        <w:spacing w:after="0" w:line="480" w:lineRule="auto"/>
        <w:ind w:firstLine="720"/>
        <w:rPr>
          <w:rFonts w:ascii="Times New Roman" w:hAnsi="Times New Roman" w:cs="Times New Roman"/>
          <w:sz w:val="24"/>
          <w:szCs w:val="24"/>
        </w:rPr>
      </w:pPr>
      <w:r w:rsidRPr="002E0673">
        <w:rPr>
          <w:rFonts w:ascii="Times New Roman" w:hAnsi="Times New Roman" w:cs="Times New Roman"/>
          <w:sz w:val="24"/>
          <w:szCs w:val="24"/>
        </w:rPr>
        <w:t>The Austria- Hungarian people believed the assassination to be a threat and provocation of the peace between Serbs, Austrians, and Hungarians. Although comprised of a lower percentage of the population in Austria-Hungary, Serbs threatened the existence of the whole country.</w:t>
      </w:r>
      <w:r w:rsidR="00401B0A">
        <w:rPr>
          <w:rStyle w:val="FootnoteReference"/>
          <w:rFonts w:ascii="Times New Roman" w:hAnsi="Times New Roman" w:cs="Times New Roman"/>
          <w:sz w:val="24"/>
          <w:szCs w:val="24"/>
        </w:rPr>
        <w:footnoteReference w:id="5"/>
      </w:r>
      <w:r w:rsidRPr="002E0673">
        <w:rPr>
          <w:rFonts w:ascii="Times New Roman" w:hAnsi="Times New Roman" w:cs="Times New Roman"/>
          <w:sz w:val="24"/>
          <w:szCs w:val="24"/>
        </w:rPr>
        <w:t xml:space="preserve"> As a result, dealing with the Serbs became one of the foreign policies in place in Austria-Hungary. Getting allied with Germany was one of the ways and aims to suppress the growth of the Serbians in Balkan.</w:t>
      </w:r>
      <w:r w:rsidR="00401B0A">
        <w:rPr>
          <w:rStyle w:val="FootnoteReference"/>
          <w:rFonts w:ascii="Times New Roman" w:hAnsi="Times New Roman" w:cs="Times New Roman"/>
          <w:sz w:val="24"/>
          <w:szCs w:val="24"/>
        </w:rPr>
        <w:footnoteReference w:id="6"/>
      </w:r>
      <w:r w:rsidRPr="002E0673">
        <w:rPr>
          <w:rFonts w:ascii="Times New Roman" w:hAnsi="Times New Roman" w:cs="Times New Roman"/>
          <w:sz w:val="24"/>
          <w:szCs w:val="24"/>
        </w:rPr>
        <w:t xml:space="preserve"> Moreover, the Serbs ethnic group posed a great threat to the development and unity of the Austria-Hungary Empire. However, this narrative provoked the Serbian nationalist with the help of other states leading to the assassination.     </w:t>
      </w:r>
    </w:p>
    <w:p w:rsidR="002E0673" w:rsidRPr="002E0673" w:rsidRDefault="002E0673" w:rsidP="002E0673">
      <w:pPr>
        <w:spacing w:after="0" w:line="480" w:lineRule="auto"/>
        <w:ind w:firstLine="720"/>
        <w:rPr>
          <w:rFonts w:ascii="Times New Roman" w:hAnsi="Times New Roman" w:cs="Times New Roman"/>
          <w:sz w:val="24"/>
          <w:szCs w:val="24"/>
        </w:rPr>
      </w:pPr>
      <w:r w:rsidRPr="002E0673">
        <w:rPr>
          <w:rFonts w:ascii="Times New Roman" w:hAnsi="Times New Roman" w:cs="Times New Roman"/>
          <w:sz w:val="24"/>
          <w:szCs w:val="24"/>
        </w:rPr>
        <w:t>Austria-Hungary had the determination to keep its unity considering its dual monarchy system. Conversely, the 1914 crisis brought about disunity. Instead of the empire to concentrate to unite and contain the threat, it had to prepare to go for war. Since Austria-Hungary consisted of many ethnic groups, there existed mutual suspicion.</w:t>
      </w:r>
      <w:r w:rsidR="00983413">
        <w:rPr>
          <w:rStyle w:val="FootnoteReference"/>
          <w:rFonts w:ascii="Times New Roman" w:hAnsi="Times New Roman" w:cs="Times New Roman"/>
          <w:sz w:val="24"/>
          <w:szCs w:val="24"/>
        </w:rPr>
        <w:footnoteReference w:id="7"/>
      </w:r>
      <w:r w:rsidRPr="002E0673">
        <w:rPr>
          <w:rFonts w:ascii="Times New Roman" w:hAnsi="Times New Roman" w:cs="Times New Roman"/>
          <w:sz w:val="24"/>
          <w:szCs w:val="24"/>
        </w:rPr>
        <w:t xml:space="preserve"> Although the mutual suspicion contributed to the unity of the empire, the 1914 crisis affected that greatly. This is because, Serbian created conflict, though, one of the ethnic groups in Austria-Hungary.</w:t>
      </w:r>
    </w:p>
    <w:p w:rsidR="002E0673" w:rsidRPr="002E0673" w:rsidRDefault="002E0673" w:rsidP="002E0673">
      <w:pPr>
        <w:spacing w:after="0" w:line="480" w:lineRule="auto"/>
        <w:ind w:firstLine="720"/>
        <w:rPr>
          <w:rFonts w:ascii="Times New Roman" w:hAnsi="Times New Roman" w:cs="Times New Roman"/>
          <w:sz w:val="24"/>
          <w:szCs w:val="24"/>
        </w:rPr>
      </w:pPr>
      <w:r w:rsidRPr="002E0673">
        <w:rPr>
          <w:rFonts w:ascii="Times New Roman" w:hAnsi="Times New Roman" w:cs="Times New Roman"/>
          <w:sz w:val="24"/>
          <w:szCs w:val="24"/>
        </w:rPr>
        <w:t>The 1914 crisis from Austria-Hungary posed a menace to its future. The assassinated heir already opposed the need to unite and be part of Serbia.</w:t>
      </w:r>
      <w:r w:rsidR="00983413">
        <w:rPr>
          <w:rStyle w:val="FootnoteReference"/>
          <w:rFonts w:ascii="Times New Roman" w:hAnsi="Times New Roman" w:cs="Times New Roman"/>
          <w:sz w:val="24"/>
          <w:szCs w:val="24"/>
        </w:rPr>
        <w:footnoteReference w:id="8"/>
      </w:r>
      <w:r w:rsidRPr="002E0673">
        <w:rPr>
          <w:rFonts w:ascii="Times New Roman" w:hAnsi="Times New Roman" w:cs="Times New Roman"/>
          <w:sz w:val="24"/>
          <w:szCs w:val="24"/>
        </w:rPr>
        <w:t xml:space="preserve"> As a result, the Serbs retaliated </w:t>
      </w:r>
      <w:r w:rsidRPr="002E0673">
        <w:rPr>
          <w:rFonts w:ascii="Times New Roman" w:hAnsi="Times New Roman" w:cs="Times New Roman"/>
          <w:sz w:val="24"/>
          <w:szCs w:val="24"/>
        </w:rPr>
        <w:lastRenderedPageBreak/>
        <w:t xml:space="preserve">claiming to secure their future. Although the claim about the future became the major reason for the Serbs to assassinate the heir, the crisis also became a danger to Austria-Hungary future. </w:t>
      </w:r>
      <w:r w:rsidR="00401B0A" w:rsidRPr="002E0673">
        <w:rPr>
          <w:rFonts w:ascii="Times New Roman" w:hAnsi="Times New Roman" w:cs="Times New Roman"/>
          <w:sz w:val="24"/>
          <w:szCs w:val="24"/>
        </w:rPr>
        <w:t>Due</w:t>
      </w:r>
      <w:r w:rsidRPr="002E0673">
        <w:rPr>
          <w:rFonts w:ascii="Times New Roman" w:hAnsi="Times New Roman" w:cs="Times New Roman"/>
          <w:sz w:val="24"/>
          <w:szCs w:val="24"/>
        </w:rPr>
        <w:t xml:space="preserve"> to the sensitivity and leadership mind of the heir, Austrian-Hungarians believed that this would change their future and definitely result in unity.</w:t>
      </w:r>
    </w:p>
    <w:p w:rsidR="002E0673" w:rsidRPr="002E0673" w:rsidRDefault="002E0673" w:rsidP="002E0673">
      <w:pPr>
        <w:spacing w:after="0" w:line="480" w:lineRule="auto"/>
        <w:ind w:firstLine="720"/>
        <w:rPr>
          <w:rFonts w:ascii="Times New Roman" w:hAnsi="Times New Roman" w:cs="Times New Roman"/>
          <w:sz w:val="24"/>
          <w:szCs w:val="24"/>
        </w:rPr>
      </w:pPr>
      <w:r w:rsidRPr="002E0673">
        <w:rPr>
          <w:rFonts w:ascii="Times New Roman" w:hAnsi="Times New Roman" w:cs="Times New Roman"/>
          <w:sz w:val="24"/>
          <w:szCs w:val="24"/>
        </w:rPr>
        <w:t>Foreign policies in Austria-Hungary were made and formed for different aims and goals. The influence of Russia in Balkan became a point of interest and concern.</w:t>
      </w:r>
      <w:r w:rsidR="00983413">
        <w:rPr>
          <w:rStyle w:val="FootnoteReference"/>
          <w:rFonts w:ascii="Times New Roman" w:hAnsi="Times New Roman" w:cs="Times New Roman"/>
          <w:sz w:val="24"/>
          <w:szCs w:val="24"/>
        </w:rPr>
        <w:footnoteReference w:id="9"/>
      </w:r>
      <w:r w:rsidRPr="002E0673">
        <w:rPr>
          <w:rFonts w:ascii="Times New Roman" w:hAnsi="Times New Roman" w:cs="Times New Roman"/>
          <w:sz w:val="24"/>
          <w:szCs w:val="24"/>
        </w:rPr>
        <w:t xml:space="preserve"> This followed the significant growth of Serbians in the Balkan.  This concern and prevention of Russia led to continuous conflict between Austria and Russia in different crisis. Additionally, foreign policies aimed to annex Bosnia and prevent the growth of South Slav nationalism. This informed the decisions that this growth threated and undermined Austria-Hungary Empire. However, it became obvious that the 1914 crisis prompted more of Austria-Hungary involvement in foreign policies. This involvement particularly aimed to strengthen it for the well trained and prepared Serbian nationalists.</w:t>
      </w:r>
    </w:p>
    <w:p w:rsidR="00401B0A" w:rsidRDefault="002E0673" w:rsidP="002E0673">
      <w:pPr>
        <w:spacing w:after="0" w:line="480" w:lineRule="auto"/>
        <w:ind w:firstLine="720"/>
        <w:rPr>
          <w:rFonts w:ascii="Times New Roman" w:hAnsi="Times New Roman" w:cs="Times New Roman"/>
          <w:sz w:val="24"/>
          <w:szCs w:val="24"/>
        </w:rPr>
      </w:pPr>
      <w:r w:rsidRPr="002E0673">
        <w:rPr>
          <w:rFonts w:ascii="Times New Roman" w:hAnsi="Times New Roman" w:cs="Times New Roman"/>
          <w:sz w:val="24"/>
          <w:szCs w:val="24"/>
        </w:rPr>
        <w:t xml:space="preserve">In conclusion, Austria-Hungary believed that the 1914 crisis would undermine her unity quest. Moreover, she would be able to engage in more foreign policies to create allies to face the well trained Serbian nationalist. This came after the failed peace talks and mediation that prevailed before 1914.  </w:t>
      </w:r>
    </w:p>
    <w:p w:rsidR="00401B0A" w:rsidRDefault="00401B0A" w:rsidP="00401B0A">
      <w:pPr>
        <w:spacing w:after="0" w:line="480" w:lineRule="auto"/>
        <w:jc w:val="center"/>
        <w:rPr>
          <w:rFonts w:ascii="Times New Roman" w:hAnsi="Times New Roman" w:cs="Times New Roman"/>
          <w:sz w:val="24"/>
          <w:szCs w:val="24"/>
        </w:rPr>
      </w:pPr>
    </w:p>
    <w:p w:rsidR="00401B0A" w:rsidRDefault="00401B0A" w:rsidP="00401B0A">
      <w:pPr>
        <w:spacing w:after="0" w:line="480" w:lineRule="auto"/>
        <w:jc w:val="center"/>
        <w:rPr>
          <w:rFonts w:ascii="Times New Roman" w:hAnsi="Times New Roman" w:cs="Times New Roman"/>
          <w:sz w:val="24"/>
          <w:szCs w:val="24"/>
        </w:rPr>
      </w:pPr>
    </w:p>
    <w:p w:rsidR="00401B0A" w:rsidRDefault="00401B0A" w:rsidP="00401B0A">
      <w:pPr>
        <w:spacing w:after="0" w:line="480" w:lineRule="auto"/>
        <w:jc w:val="center"/>
        <w:rPr>
          <w:rFonts w:ascii="Times New Roman" w:hAnsi="Times New Roman" w:cs="Times New Roman"/>
          <w:sz w:val="24"/>
          <w:szCs w:val="24"/>
        </w:rPr>
      </w:pPr>
    </w:p>
    <w:p w:rsidR="00401B0A" w:rsidRDefault="00401B0A" w:rsidP="00401B0A">
      <w:pPr>
        <w:spacing w:after="0" w:line="480" w:lineRule="auto"/>
        <w:jc w:val="center"/>
        <w:rPr>
          <w:rFonts w:ascii="Times New Roman" w:hAnsi="Times New Roman" w:cs="Times New Roman"/>
          <w:sz w:val="24"/>
          <w:szCs w:val="24"/>
        </w:rPr>
      </w:pPr>
    </w:p>
    <w:p w:rsidR="00401B0A" w:rsidRDefault="00401B0A" w:rsidP="00401B0A">
      <w:pPr>
        <w:spacing w:after="0" w:line="480" w:lineRule="auto"/>
        <w:jc w:val="center"/>
        <w:rPr>
          <w:rFonts w:ascii="Times New Roman" w:hAnsi="Times New Roman" w:cs="Times New Roman"/>
          <w:sz w:val="24"/>
          <w:szCs w:val="24"/>
        </w:rPr>
      </w:pPr>
    </w:p>
    <w:p w:rsidR="00983413" w:rsidRDefault="00983413" w:rsidP="00983413">
      <w:pPr>
        <w:spacing w:after="0" w:line="480" w:lineRule="auto"/>
        <w:rPr>
          <w:rFonts w:ascii="Times New Roman" w:hAnsi="Times New Roman" w:cs="Times New Roman"/>
          <w:sz w:val="24"/>
          <w:szCs w:val="24"/>
        </w:rPr>
      </w:pPr>
    </w:p>
    <w:p w:rsidR="00401B0A" w:rsidRDefault="00401B0A" w:rsidP="00401B0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Bibliography</w:t>
      </w:r>
    </w:p>
    <w:p w:rsidR="00401B0A" w:rsidRPr="002A6C9E" w:rsidRDefault="00401B0A" w:rsidP="00401B0A">
      <w:pPr>
        <w:spacing w:after="0" w:line="480" w:lineRule="auto"/>
        <w:ind w:left="720" w:hanging="720"/>
        <w:rPr>
          <w:rFonts w:ascii="Times New Roman" w:hAnsi="Times New Roman" w:cs="Times New Roman"/>
          <w:color w:val="222222"/>
          <w:sz w:val="24"/>
          <w:szCs w:val="24"/>
          <w:shd w:val="clear" w:color="auto" w:fill="FFFFFF"/>
        </w:rPr>
      </w:pPr>
      <w:r w:rsidRPr="002A6C9E">
        <w:rPr>
          <w:rFonts w:ascii="Times New Roman" w:hAnsi="Times New Roman" w:cs="Times New Roman"/>
          <w:color w:val="222222"/>
          <w:sz w:val="24"/>
          <w:szCs w:val="24"/>
          <w:shd w:val="clear" w:color="auto" w:fill="FFFFFF"/>
        </w:rPr>
        <w:t>MacMillan, Margaret. "The War That Ended Peace: The Road to 1914."Accessed from http://www.journal.forces.gc.ca/vol15/no3/page62-fra.asp</w:t>
      </w:r>
    </w:p>
    <w:p w:rsidR="00401B0A" w:rsidRDefault="00401B0A" w:rsidP="00401B0A">
      <w:pPr>
        <w:spacing w:after="0"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Mombauer, Annika. July Crisis 1914. </w:t>
      </w:r>
      <w:r w:rsidRPr="00401B0A">
        <w:rPr>
          <w:rFonts w:ascii="Times New Roman" w:hAnsi="Times New Roman" w:cs="Times New Roman"/>
          <w:i/>
          <w:color w:val="222222"/>
          <w:sz w:val="24"/>
          <w:szCs w:val="24"/>
          <w:shd w:val="clear" w:color="auto" w:fill="FFFFFF"/>
        </w:rPr>
        <w:t>International Encyclopedia of the First World War</w:t>
      </w:r>
      <w:r>
        <w:rPr>
          <w:rFonts w:ascii="Times New Roman" w:hAnsi="Times New Roman" w:cs="Times New Roman"/>
          <w:color w:val="222222"/>
          <w:sz w:val="24"/>
          <w:szCs w:val="24"/>
          <w:shd w:val="clear" w:color="auto" w:fill="FFFFFF"/>
        </w:rPr>
        <w:t>. (2018). Accessed from</w:t>
      </w:r>
      <w:r w:rsidRPr="00401B0A">
        <w:t xml:space="preserve"> </w:t>
      </w:r>
      <w:r w:rsidRPr="00401B0A">
        <w:rPr>
          <w:rFonts w:ascii="Times New Roman" w:hAnsi="Times New Roman" w:cs="Times New Roman"/>
          <w:color w:val="222222"/>
          <w:sz w:val="24"/>
          <w:szCs w:val="24"/>
          <w:shd w:val="clear" w:color="auto" w:fill="FFFFFF"/>
        </w:rPr>
        <w:t>https://encyclopedia.1914-1918-online.net/article/july_crisis_1914</w:t>
      </w:r>
    </w:p>
    <w:p w:rsidR="00401B0A" w:rsidRDefault="00401B0A" w:rsidP="00401B0A">
      <w:pPr>
        <w:spacing w:after="0" w:line="480" w:lineRule="auto"/>
        <w:ind w:left="720" w:hanging="720"/>
        <w:rPr>
          <w:rFonts w:ascii="Times New Roman" w:hAnsi="Times New Roman" w:cs="Times New Roman"/>
          <w:sz w:val="24"/>
          <w:szCs w:val="24"/>
        </w:rPr>
      </w:pPr>
      <w:r w:rsidRPr="002A6C9E">
        <w:rPr>
          <w:rFonts w:ascii="Times New Roman" w:hAnsi="Times New Roman" w:cs="Times New Roman"/>
          <w:color w:val="222222"/>
          <w:sz w:val="24"/>
          <w:szCs w:val="24"/>
          <w:shd w:val="clear" w:color="auto" w:fill="FFFFFF"/>
        </w:rPr>
        <w:t>Stevenson, David. "Militarization and Diplomacy in Europe before 1914." </w:t>
      </w:r>
      <w:r w:rsidRPr="002A6C9E">
        <w:rPr>
          <w:rFonts w:ascii="Times New Roman" w:hAnsi="Times New Roman" w:cs="Times New Roman"/>
          <w:i/>
          <w:iCs/>
          <w:color w:val="222222"/>
          <w:sz w:val="24"/>
          <w:szCs w:val="24"/>
          <w:shd w:val="clear" w:color="auto" w:fill="FFFFFF"/>
        </w:rPr>
        <w:t>International Security</w:t>
      </w:r>
      <w:r w:rsidRPr="002A6C9E">
        <w:rPr>
          <w:rFonts w:ascii="Times New Roman" w:hAnsi="Times New Roman" w:cs="Times New Roman"/>
          <w:color w:val="222222"/>
          <w:sz w:val="24"/>
          <w:szCs w:val="24"/>
          <w:shd w:val="clear" w:color="auto" w:fill="FFFFFF"/>
        </w:rPr>
        <w:t> 22, no. 1 (1997): 125-161. Accessed from http://www3.nccu.edu.tw/~lorenzo/stevenson%20diplomacy%20in%20europe%20before%201914.pdf</w:t>
      </w:r>
    </w:p>
    <w:p w:rsidR="00401B0A" w:rsidRPr="002A6C9E" w:rsidRDefault="00401B0A" w:rsidP="00401B0A">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Tonge, Stephen. Austria-Hungary 1870-1914. </w:t>
      </w:r>
      <w:r w:rsidRPr="002A6C9E">
        <w:rPr>
          <w:rFonts w:ascii="Times New Roman" w:hAnsi="Times New Roman" w:cs="Times New Roman"/>
          <w:i/>
          <w:sz w:val="24"/>
          <w:szCs w:val="24"/>
        </w:rPr>
        <w:t>European History</w:t>
      </w:r>
      <w:r>
        <w:rPr>
          <w:rFonts w:ascii="Times New Roman" w:hAnsi="Times New Roman" w:cs="Times New Roman"/>
          <w:sz w:val="24"/>
          <w:szCs w:val="24"/>
        </w:rPr>
        <w:t>. (2013). Accessed from</w:t>
      </w:r>
      <w:r w:rsidRPr="002A6C9E">
        <w:t xml:space="preserve"> </w:t>
      </w:r>
      <w:r w:rsidRPr="002A6C9E">
        <w:rPr>
          <w:rFonts w:ascii="Times New Roman" w:hAnsi="Times New Roman" w:cs="Times New Roman"/>
          <w:sz w:val="24"/>
          <w:szCs w:val="24"/>
        </w:rPr>
        <w:t>http://www.historyhome.co.uk/europe/aus-hun.htm</w:t>
      </w:r>
    </w:p>
    <w:p w:rsidR="00915D64" w:rsidRPr="00FC5929" w:rsidRDefault="00CD2492" w:rsidP="00401B0A">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p>
    <w:sectPr w:rsidR="00915D64" w:rsidRPr="00FC592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2A61" w:rsidRDefault="00A52A61" w:rsidP="002E0673">
      <w:pPr>
        <w:spacing w:after="0" w:line="240" w:lineRule="auto"/>
      </w:pPr>
      <w:r>
        <w:separator/>
      </w:r>
    </w:p>
  </w:endnote>
  <w:endnote w:type="continuationSeparator" w:id="0">
    <w:p w:rsidR="00A52A61" w:rsidRDefault="00A52A61" w:rsidP="002E06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2A61" w:rsidRDefault="00A52A61" w:rsidP="002E0673">
      <w:pPr>
        <w:spacing w:after="0" w:line="240" w:lineRule="auto"/>
      </w:pPr>
      <w:r>
        <w:separator/>
      </w:r>
    </w:p>
  </w:footnote>
  <w:footnote w:type="continuationSeparator" w:id="0">
    <w:p w:rsidR="00A52A61" w:rsidRDefault="00A52A61" w:rsidP="002E0673">
      <w:pPr>
        <w:spacing w:after="0" w:line="240" w:lineRule="auto"/>
      </w:pPr>
      <w:r>
        <w:continuationSeparator/>
      </w:r>
    </w:p>
  </w:footnote>
  <w:footnote w:id="1">
    <w:p w:rsidR="00401B0A" w:rsidRPr="00401B0A" w:rsidRDefault="00401B0A">
      <w:pPr>
        <w:pStyle w:val="FootnoteText"/>
        <w:rPr>
          <w:rFonts w:ascii="Arial" w:hAnsi="Arial" w:cs="Arial"/>
        </w:rPr>
      </w:pPr>
      <w:r>
        <w:rPr>
          <w:rStyle w:val="FootnoteReference"/>
        </w:rPr>
        <w:footnoteRef/>
      </w:r>
      <w:r>
        <w:t xml:space="preserve"> </w:t>
      </w:r>
      <w:r w:rsidRPr="00401B0A">
        <w:rPr>
          <w:rFonts w:ascii="Arial" w:hAnsi="Arial" w:cs="Arial"/>
          <w:color w:val="222222"/>
          <w:shd w:val="clear" w:color="auto" w:fill="FFFFFF"/>
        </w:rPr>
        <w:t xml:space="preserve">Mombauer, Annika. July Crisis 1914. </w:t>
      </w:r>
      <w:r w:rsidRPr="00401B0A">
        <w:rPr>
          <w:rFonts w:ascii="Arial" w:hAnsi="Arial" w:cs="Arial"/>
          <w:i/>
          <w:color w:val="222222"/>
          <w:shd w:val="clear" w:color="auto" w:fill="FFFFFF"/>
        </w:rPr>
        <w:t>International Encyclopedia of the First World War</w:t>
      </w:r>
      <w:r w:rsidRPr="00401B0A">
        <w:rPr>
          <w:rFonts w:ascii="Arial" w:hAnsi="Arial" w:cs="Arial"/>
          <w:color w:val="222222"/>
          <w:shd w:val="clear" w:color="auto" w:fill="FFFFFF"/>
        </w:rPr>
        <w:t>. (2018)</w:t>
      </w:r>
    </w:p>
  </w:footnote>
  <w:footnote w:id="2">
    <w:p w:rsidR="00401B0A" w:rsidRDefault="00401B0A">
      <w:pPr>
        <w:pStyle w:val="FootnoteText"/>
      </w:pPr>
      <w:r>
        <w:rPr>
          <w:rStyle w:val="FootnoteReference"/>
        </w:rPr>
        <w:footnoteRef/>
      </w:r>
      <w:r>
        <w:t xml:space="preserve"> Ibid</w:t>
      </w:r>
    </w:p>
  </w:footnote>
  <w:footnote w:id="3">
    <w:p w:rsidR="00401B0A" w:rsidRPr="00401B0A" w:rsidRDefault="00401B0A">
      <w:pPr>
        <w:pStyle w:val="FootnoteText"/>
        <w:rPr>
          <w:rFonts w:ascii="Arial" w:hAnsi="Arial" w:cs="Arial"/>
        </w:rPr>
      </w:pPr>
      <w:r>
        <w:rPr>
          <w:rStyle w:val="FootnoteReference"/>
        </w:rPr>
        <w:footnoteRef/>
      </w:r>
      <w:r>
        <w:t xml:space="preserve"> </w:t>
      </w:r>
      <w:r w:rsidRPr="00401B0A">
        <w:rPr>
          <w:rFonts w:ascii="Arial" w:hAnsi="Arial" w:cs="Arial"/>
        </w:rPr>
        <w:t xml:space="preserve">Tonge, Stephen. Austria-Hungary 1870-1914. </w:t>
      </w:r>
      <w:r w:rsidRPr="00401B0A">
        <w:rPr>
          <w:rFonts w:ascii="Arial" w:hAnsi="Arial" w:cs="Arial"/>
          <w:i/>
        </w:rPr>
        <w:t>European History</w:t>
      </w:r>
      <w:r w:rsidRPr="00401B0A">
        <w:rPr>
          <w:rFonts w:ascii="Arial" w:hAnsi="Arial" w:cs="Arial"/>
        </w:rPr>
        <w:t>. (2013)</w:t>
      </w:r>
    </w:p>
  </w:footnote>
  <w:footnote w:id="4">
    <w:p w:rsidR="00401B0A" w:rsidRPr="00401B0A" w:rsidRDefault="00401B0A">
      <w:pPr>
        <w:pStyle w:val="FootnoteText"/>
        <w:rPr>
          <w:rFonts w:ascii="Arial" w:hAnsi="Arial" w:cs="Arial"/>
        </w:rPr>
      </w:pPr>
      <w:r>
        <w:rPr>
          <w:rStyle w:val="FootnoteReference"/>
        </w:rPr>
        <w:footnoteRef/>
      </w:r>
      <w:r>
        <w:t xml:space="preserve"> </w:t>
      </w:r>
      <w:r w:rsidRPr="00401B0A">
        <w:rPr>
          <w:rFonts w:ascii="Arial" w:hAnsi="Arial" w:cs="Arial"/>
          <w:color w:val="222222"/>
          <w:shd w:val="clear" w:color="auto" w:fill="FFFFFF"/>
        </w:rPr>
        <w:t>Stevenson, David. "Militarization and Diplomacy in Europe before 1914." </w:t>
      </w:r>
      <w:r w:rsidRPr="00401B0A">
        <w:rPr>
          <w:rFonts w:ascii="Arial" w:hAnsi="Arial" w:cs="Arial"/>
          <w:i/>
          <w:iCs/>
          <w:color w:val="222222"/>
          <w:shd w:val="clear" w:color="auto" w:fill="FFFFFF"/>
        </w:rPr>
        <w:t>International Security</w:t>
      </w:r>
      <w:r w:rsidRPr="00401B0A">
        <w:rPr>
          <w:rFonts w:ascii="Arial" w:hAnsi="Arial" w:cs="Arial"/>
          <w:color w:val="222222"/>
          <w:shd w:val="clear" w:color="auto" w:fill="FFFFFF"/>
        </w:rPr>
        <w:t> 22, no. 1 (1997): 125-161.</w:t>
      </w:r>
    </w:p>
  </w:footnote>
  <w:footnote w:id="5">
    <w:p w:rsidR="00401B0A" w:rsidRDefault="00401B0A">
      <w:pPr>
        <w:pStyle w:val="FootnoteText"/>
      </w:pPr>
      <w:r>
        <w:rPr>
          <w:rStyle w:val="FootnoteReference"/>
        </w:rPr>
        <w:footnoteRef/>
      </w:r>
      <w:r>
        <w:t xml:space="preserve"> Ibid</w:t>
      </w:r>
      <w:r w:rsidR="00983413">
        <w:t>,2</w:t>
      </w:r>
    </w:p>
  </w:footnote>
  <w:footnote w:id="6">
    <w:p w:rsidR="00401B0A" w:rsidRDefault="00401B0A">
      <w:pPr>
        <w:pStyle w:val="FootnoteText"/>
      </w:pPr>
      <w:r>
        <w:rPr>
          <w:rStyle w:val="FootnoteReference"/>
        </w:rPr>
        <w:footnoteRef/>
      </w:r>
      <w:r>
        <w:t xml:space="preserve"> Ibid</w:t>
      </w:r>
      <w:r w:rsidR="00983413">
        <w:t>, 2</w:t>
      </w:r>
    </w:p>
  </w:footnote>
  <w:footnote w:id="7">
    <w:p w:rsidR="00983413" w:rsidRDefault="00983413">
      <w:pPr>
        <w:pStyle w:val="FootnoteText"/>
      </w:pPr>
      <w:r>
        <w:rPr>
          <w:rStyle w:val="FootnoteReference"/>
        </w:rPr>
        <w:footnoteRef/>
      </w:r>
      <w:r>
        <w:t xml:space="preserve"> Ibid,2</w:t>
      </w:r>
    </w:p>
  </w:footnote>
  <w:footnote w:id="8">
    <w:p w:rsidR="00983413" w:rsidRDefault="00983413">
      <w:pPr>
        <w:pStyle w:val="FootnoteText"/>
      </w:pPr>
      <w:r>
        <w:rPr>
          <w:rStyle w:val="FootnoteReference"/>
        </w:rPr>
        <w:footnoteRef/>
      </w:r>
      <w:r>
        <w:t xml:space="preserve"> </w:t>
      </w:r>
      <w:r w:rsidRPr="00983413">
        <w:rPr>
          <w:rFonts w:ascii="Arial" w:hAnsi="Arial" w:cs="Arial"/>
          <w:color w:val="222222"/>
          <w:shd w:val="clear" w:color="auto" w:fill="FFFFFF"/>
        </w:rPr>
        <w:t>MacMillan, Margaret. "The War That Ended Peace: The Road to 1914."</w:t>
      </w:r>
    </w:p>
  </w:footnote>
  <w:footnote w:id="9">
    <w:p w:rsidR="00983413" w:rsidRDefault="00983413">
      <w:pPr>
        <w:pStyle w:val="FootnoteText"/>
      </w:pPr>
      <w:r>
        <w:rPr>
          <w:rStyle w:val="FootnoteReference"/>
        </w:rPr>
        <w:footnoteRef/>
      </w:r>
      <w:r>
        <w:t xml:space="preserve"> Ibid, 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0673" w:rsidRPr="002E0673" w:rsidRDefault="002E0673">
    <w:pPr>
      <w:pStyle w:val="Header"/>
      <w:rPr>
        <w:rFonts w:ascii="Times New Roman" w:hAnsi="Times New Roman" w:cs="Times New Roman"/>
        <w:sz w:val="24"/>
        <w:szCs w:val="24"/>
      </w:rPr>
    </w:pPr>
    <w:r>
      <w:tab/>
    </w:r>
    <w:r>
      <w:tab/>
    </w:r>
    <w:r w:rsidRPr="002E0673">
      <w:rPr>
        <w:rFonts w:ascii="Times New Roman" w:hAnsi="Times New Roman" w:cs="Times New Roman"/>
        <w:sz w:val="24"/>
        <w:szCs w:val="24"/>
      </w:rPr>
      <w:fldChar w:fldCharType="begin"/>
    </w:r>
    <w:r w:rsidRPr="002E0673">
      <w:rPr>
        <w:rFonts w:ascii="Times New Roman" w:hAnsi="Times New Roman" w:cs="Times New Roman"/>
        <w:sz w:val="24"/>
        <w:szCs w:val="24"/>
      </w:rPr>
      <w:instrText xml:space="preserve"> PAGE   \* MERGEFORMAT </w:instrText>
    </w:r>
    <w:r w:rsidRPr="002E0673">
      <w:rPr>
        <w:rFonts w:ascii="Times New Roman" w:hAnsi="Times New Roman" w:cs="Times New Roman"/>
        <w:sz w:val="24"/>
        <w:szCs w:val="24"/>
      </w:rPr>
      <w:fldChar w:fldCharType="separate"/>
    </w:r>
    <w:r w:rsidR="00FE4148">
      <w:rPr>
        <w:rFonts w:ascii="Times New Roman" w:hAnsi="Times New Roman" w:cs="Times New Roman"/>
        <w:noProof/>
        <w:sz w:val="24"/>
        <w:szCs w:val="24"/>
      </w:rPr>
      <w:t>1</w:t>
    </w:r>
    <w:r w:rsidRPr="002E067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Y2NDW1NDI3NDIwNjJS0lEKTi0uzszPAykwrAUA9COM/iwAAAA="/>
  </w:docVars>
  <w:rsids>
    <w:rsidRoot w:val="00FC5929"/>
    <w:rsid w:val="002E0673"/>
    <w:rsid w:val="00401B0A"/>
    <w:rsid w:val="00442739"/>
    <w:rsid w:val="004B4F51"/>
    <w:rsid w:val="004D1616"/>
    <w:rsid w:val="005D3719"/>
    <w:rsid w:val="0081591A"/>
    <w:rsid w:val="00915D64"/>
    <w:rsid w:val="00967593"/>
    <w:rsid w:val="00983413"/>
    <w:rsid w:val="009C32BB"/>
    <w:rsid w:val="00A52A61"/>
    <w:rsid w:val="00CD2492"/>
    <w:rsid w:val="00D86E19"/>
    <w:rsid w:val="00F44143"/>
    <w:rsid w:val="00FC5929"/>
    <w:rsid w:val="00FD147C"/>
    <w:rsid w:val="00FE41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F8777F-3283-4E57-A39A-550100815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2E06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0673"/>
  </w:style>
  <w:style w:type="paragraph" w:styleId="Footer">
    <w:name w:val="footer"/>
    <w:basedOn w:val="Normal"/>
    <w:link w:val="FooterChar"/>
    <w:uiPriority w:val="99"/>
    <w:unhideWhenUsed/>
    <w:rsid w:val="002E06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0673"/>
  </w:style>
  <w:style w:type="paragraph" w:styleId="FootnoteText">
    <w:name w:val="footnote text"/>
    <w:basedOn w:val="Normal"/>
    <w:link w:val="FootnoteTextChar"/>
    <w:uiPriority w:val="99"/>
    <w:semiHidden/>
    <w:unhideWhenUsed/>
    <w:rsid w:val="00401B0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01B0A"/>
    <w:rPr>
      <w:sz w:val="20"/>
      <w:szCs w:val="20"/>
    </w:rPr>
  </w:style>
  <w:style w:type="character" w:styleId="FootnoteReference">
    <w:name w:val="footnote reference"/>
    <w:basedOn w:val="DefaultParagraphFont"/>
    <w:uiPriority w:val="99"/>
    <w:semiHidden/>
    <w:unhideWhenUsed/>
    <w:rsid w:val="00401B0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2384EB-B739-4C59-998D-1048E0B3B8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887</Words>
  <Characters>5062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2019-01-30T09:53:00Z</dcterms:created>
  <dcterms:modified xsi:type="dcterms:W3CDTF">2019-01-30T09:53:00Z</dcterms:modified>
</cp:coreProperties>
</file>